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42AE" w14:textId="77777777" w:rsidR="00C6631E" w:rsidRDefault="00C6631E" w:rsidP="00C6631E">
      <w:pPr>
        <w:pStyle w:val="NoSpacing"/>
        <w:spacing w:line="360" w:lineRule="auto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Metaphor</w:t>
      </w:r>
    </w:p>
    <w:p w14:paraId="7EE9CB53" w14:textId="226DF86C" w:rsidR="00C6631E" w:rsidRDefault="00C6631E" w:rsidP="00C6631E">
      <w:pPr>
        <w:pStyle w:val="NoSpacing"/>
        <w:spacing w:line="360" w:lineRule="auto"/>
        <w:rPr>
          <w:rFonts w:ascii="Garamond" w:hAnsi="Garamond"/>
          <w:b/>
          <w:i/>
          <w:color w:val="FF0000"/>
          <w:sz w:val="24"/>
          <w:szCs w:val="24"/>
        </w:rPr>
      </w:pPr>
      <w:r w:rsidRPr="002B6465">
        <w:rPr>
          <w:rFonts w:ascii="Garamond" w:hAnsi="Garamond"/>
          <w:b/>
          <w:i/>
          <w:color w:val="FF0000"/>
          <w:sz w:val="24"/>
          <w:szCs w:val="24"/>
        </w:rPr>
        <w:t xml:space="preserve">This bowl is a metaphor for me because although we appear unalike, there are a number of qualities that this bowl and I have in common.  </w:t>
      </w:r>
      <w:r w:rsidR="008B791B" w:rsidRPr="008D765B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The </w:t>
      </w:r>
      <w:r w:rsidR="00592120" w:rsidRPr="008D765B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first quality of this bowl that’s important is that it’s not soft but hard plastic, so </w:t>
      </w:r>
      <w:r w:rsidR="008E08D2" w:rsidRPr="008D765B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it’s quite </w:t>
      </w:r>
      <w:r w:rsidR="008E08D2" w:rsidRPr="008D765B">
        <w:rPr>
          <w:rFonts w:ascii="Garamond" w:hAnsi="Garamond"/>
          <w:b/>
          <w:i/>
          <w:color w:val="ED7D31" w:themeColor="accent2"/>
          <w:sz w:val="24"/>
          <w:szCs w:val="24"/>
          <w:highlight w:val="yellow"/>
        </w:rPr>
        <w:t>inflexible</w:t>
      </w:r>
      <w:r w:rsidRPr="008D765B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.  </w:t>
      </w:r>
      <w:r w:rsidRPr="008D765B">
        <w:rPr>
          <w:rFonts w:ascii="Garamond" w:hAnsi="Garamond"/>
          <w:b/>
          <w:i/>
          <w:color w:val="0070C0"/>
          <w:sz w:val="24"/>
          <w:szCs w:val="24"/>
        </w:rPr>
        <w:t xml:space="preserve">Similarly, I have a tendency to be </w:t>
      </w:r>
      <w:r w:rsidRPr="008D765B">
        <w:rPr>
          <w:rFonts w:ascii="Garamond" w:hAnsi="Garamond"/>
          <w:b/>
          <w:i/>
          <w:color w:val="0070C0"/>
          <w:sz w:val="24"/>
          <w:szCs w:val="24"/>
          <w:highlight w:val="yellow"/>
        </w:rPr>
        <w:t>inflexible</w:t>
      </w:r>
      <w:r w:rsidRPr="008D765B">
        <w:rPr>
          <w:rFonts w:ascii="Garamond" w:hAnsi="Garamond"/>
          <w:b/>
          <w:i/>
          <w:color w:val="0070C0"/>
          <w:sz w:val="24"/>
          <w:szCs w:val="24"/>
        </w:rPr>
        <w:t xml:space="preserve"> in my thinking at times.  </w:t>
      </w:r>
      <w:r w:rsidR="008C7A36" w:rsidRPr="008D765B">
        <w:rPr>
          <w:rFonts w:ascii="Garamond" w:hAnsi="Garamond"/>
          <w:b/>
          <w:i/>
          <w:color w:val="0070C0"/>
          <w:sz w:val="24"/>
          <w:szCs w:val="24"/>
        </w:rPr>
        <w:t xml:space="preserve">I sometimes </w:t>
      </w:r>
      <w:r w:rsidR="005C11A5" w:rsidRPr="008D765B">
        <w:rPr>
          <w:rFonts w:ascii="Garamond" w:hAnsi="Garamond"/>
          <w:b/>
          <w:i/>
          <w:color w:val="0070C0"/>
          <w:sz w:val="24"/>
          <w:szCs w:val="24"/>
        </w:rPr>
        <w:t xml:space="preserve">catch myself </w:t>
      </w:r>
      <w:r w:rsidR="00BB2450" w:rsidRPr="008D765B">
        <w:rPr>
          <w:rFonts w:ascii="Garamond" w:hAnsi="Garamond"/>
          <w:b/>
          <w:i/>
          <w:color w:val="0070C0"/>
          <w:sz w:val="24"/>
          <w:szCs w:val="24"/>
        </w:rPr>
        <w:t xml:space="preserve">not being as openminded to change as I should be.  </w:t>
      </w:r>
      <w:r w:rsidRPr="008D765B">
        <w:rPr>
          <w:rFonts w:ascii="Garamond" w:hAnsi="Garamond"/>
          <w:b/>
          <w:i/>
          <w:color w:val="0070C0"/>
          <w:sz w:val="24"/>
          <w:szCs w:val="24"/>
        </w:rPr>
        <w:t xml:space="preserve">Because this bowl shares a quality with me that I’m not particularly proud of, it’s one reason why it’s a good metaphor for me. 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Pr="007B2D31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More importantly, </w:t>
      </w:r>
      <w:r w:rsidR="00C36113" w:rsidRPr="007B2D31">
        <w:rPr>
          <w:rFonts w:ascii="Garamond" w:hAnsi="Garamond"/>
          <w:b/>
          <w:i/>
          <w:color w:val="ED7D31" w:themeColor="accent2"/>
          <w:sz w:val="24"/>
          <w:szCs w:val="24"/>
        </w:rPr>
        <w:t>t</w:t>
      </w:r>
      <w:r w:rsidR="00C36113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>his</w:t>
      </w:r>
      <w:r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 plastic bowl is actually </w:t>
      </w:r>
      <w:r w:rsidR="008008BD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also </w:t>
      </w:r>
      <w:r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>a mixing bowl and</w:t>
      </w:r>
      <w:r w:rsidR="008008BD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>,</w:t>
      </w:r>
      <w:r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 </w:t>
      </w:r>
      <w:r w:rsidR="00A505EA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as </w:t>
      </w:r>
      <w:r w:rsidR="00CD0797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>anyone</w:t>
      </w:r>
      <w:r w:rsidR="00A505EA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 know</w:t>
      </w:r>
      <w:r w:rsidR="00CD0797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>s</w:t>
      </w:r>
      <w:r w:rsidR="00A505EA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>, a mixing bowl is used to</w:t>
      </w:r>
      <w:r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 thoroughly blend </w:t>
      </w:r>
      <w:r w:rsidRPr="002F1229">
        <w:rPr>
          <w:rFonts w:ascii="Garamond" w:hAnsi="Garamond"/>
          <w:b/>
          <w:i/>
          <w:color w:val="ED7D31" w:themeColor="accent2"/>
          <w:sz w:val="24"/>
          <w:szCs w:val="24"/>
          <w:highlight w:val="yellow"/>
        </w:rPr>
        <w:t>many different ingredients together</w:t>
      </w:r>
      <w:r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 to result in some final product, like a cake batter.  And if a baker doesn’t combine them just right, then the final product </w:t>
      </w:r>
      <w:r w:rsidR="00402A97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can </w:t>
      </w:r>
      <w:r w:rsidR="0098772A">
        <w:rPr>
          <w:rFonts w:ascii="Garamond" w:hAnsi="Garamond"/>
          <w:b/>
          <w:i/>
          <w:color w:val="ED7D31" w:themeColor="accent2"/>
          <w:sz w:val="24"/>
          <w:szCs w:val="24"/>
        </w:rPr>
        <w:t>be</w:t>
      </w:r>
      <w:r w:rsidR="00AA7386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 disastrous</w:t>
      </w:r>
      <w:r w:rsidR="00402A97"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>.</w:t>
      </w:r>
      <w:r w:rsidRPr="002F1229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   </w:t>
      </w:r>
      <w:r w:rsidRPr="002F1229">
        <w:rPr>
          <w:rFonts w:ascii="Garamond" w:hAnsi="Garamond"/>
          <w:b/>
          <w:i/>
          <w:color w:val="0070C0"/>
          <w:sz w:val="24"/>
          <w:szCs w:val="24"/>
        </w:rPr>
        <w:t xml:space="preserve">In a similar way, </w:t>
      </w:r>
      <w:r w:rsidRPr="002F1229">
        <w:rPr>
          <w:rFonts w:ascii="Garamond" w:hAnsi="Garamond"/>
          <w:b/>
          <w:i/>
          <w:color w:val="0070C0"/>
          <w:sz w:val="24"/>
          <w:szCs w:val="24"/>
          <w:highlight w:val="yellow"/>
        </w:rPr>
        <w:t>I am combination of different ingredients</w:t>
      </w:r>
      <w:r w:rsidR="00402A97" w:rsidRPr="002F1229">
        <w:rPr>
          <w:rFonts w:ascii="Garamond" w:hAnsi="Garamond"/>
          <w:b/>
          <w:i/>
          <w:color w:val="0070C0"/>
          <w:sz w:val="24"/>
          <w:szCs w:val="24"/>
          <w:highlight w:val="yellow"/>
        </w:rPr>
        <w:t xml:space="preserve">—the </w:t>
      </w:r>
      <w:r w:rsidRPr="002F1229">
        <w:rPr>
          <w:rFonts w:ascii="Garamond" w:hAnsi="Garamond"/>
          <w:b/>
          <w:i/>
          <w:color w:val="0070C0"/>
          <w:sz w:val="24"/>
          <w:szCs w:val="24"/>
          <w:highlight w:val="yellow"/>
        </w:rPr>
        <w:t>roles that I play</w:t>
      </w:r>
      <w:r w:rsidR="00402A97" w:rsidRPr="002F1229">
        <w:rPr>
          <w:rFonts w:ascii="Garamond" w:hAnsi="Garamond"/>
          <w:b/>
          <w:i/>
          <w:color w:val="0070C0"/>
          <w:sz w:val="24"/>
          <w:szCs w:val="24"/>
          <w:highlight w:val="yellow"/>
        </w:rPr>
        <w:t>—</w:t>
      </w:r>
      <w:r w:rsidRPr="002F1229">
        <w:rPr>
          <w:rFonts w:ascii="Garamond" w:hAnsi="Garamond"/>
          <w:b/>
          <w:i/>
          <w:color w:val="0070C0"/>
          <w:sz w:val="24"/>
          <w:szCs w:val="24"/>
          <w:highlight w:val="yellow"/>
        </w:rPr>
        <w:t>in</w:t>
      </w:r>
      <w:r w:rsidR="00402A97" w:rsidRPr="002F1229">
        <w:rPr>
          <w:rFonts w:ascii="Garamond" w:hAnsi="Garamond"/>
          <w:b/>
          <w:i/>
          <w:color w:val="0070C0"/>
          <w:sz w:val="24"/>
          <w:szCs w:val="24"/>
          <w:highlight w:val="yellow"/>
        </w:rPr>
        <w:t xml:space="preserve"> </w:t>
      </w:r>
      <w:r w:rsidRPr="002F1229">
        <w:rPr>
          <w:rFonts w:ascii="Garamond" w:hAnsi="Garamond"/>
          <w:b/>
          <w:i/>
          <w:color w:val="0070C0"/>
          <w:sz w:val="24"/>
          <w:szCs w:val="24"/>
          <w:highlight w:val="yellow"/>
        </w:rPr>
        <w:t>my life</w:t>
      </w:r>
      <w:r w:rsidRPr="002F1229">
        <w:rPr>
          <w:rFonts w:ascii="Garamond" w:hAnsi="Garamond"/>
          <w:b/>
          <w:i/>
          <w:color w:val="0070C0"/>
          <w:sz w:val="24"/>
          <w:szCs w:val="24"/>
        </w:rPr>
        <w:t xml:space="preserve">.  Each day, I have to </w:t>
      </w:r>
      <w:r w:rsidR="00A33FB4" w:rsidRPr="002F1229">
        <w:rPr>
          <w:rFonts w:ascii="Garamond" w:hAnsi="Garamond"/>
          <w:b/>
          <w:i/>
          <w:color w:val="0070C0"/>
          <w:sz w:val="24"/>
          <w:szCs w:val="24"/>
        </w:rPr>
        <w:t>multitask</w:t>
      </w:r>
      <w:r w:rsidRPr="002F1229">
        <w:rPr>
          <w:rFonts w:ascii="Garamond" w:hAnsi="Garamond"/>
          <w:b/>
          <w:i/>
          <w:color w:val="0070C0"/>
          <w:sz w:val="24"/>
          <w:szCs w:val="24"/>
        </w:rPr>
        <w:t xml:space="preserve"> the role of a husband, a father to three daughters, a teacher, a CAS coordinator, Key Club Advisor, Student Voice Committee advisor, senior class sponsor, a friend to others, and a son to my mother and stepfather.  Just like a </w:t>
      </w:r>
      <w:r w:rsidR="00580CF6">
        <w:rPr>
          <w:rFonts w:ascii="Garamond" w:hAnsi="Garamond"/>
          <w:b/>
          <w:i/>
          <w:color w:val="0070C0"/>
          <w:sz w:val="24"/>
          <w:szCs w:val="24"/>
        </w:rPr>
        <w:t>mixing bowl</w:t>
      </w:r>
      <w:r w:rsidRPr="002F1229">
        <w:rPr>
          <w:rFonts w:ascii="Garamond" w:hAnsi="Garamond"/>
          <w:b/>
          <w:i/>
          <w:color w:val="0070C0"/>
          <w:sz w:val="24"/>
          <w:szCs w:val="24"/>
        </w:rPr>
        <w:t xml:space="preserve">, without a proper balance of these ingredients carefully combined, the end result would be </w:t>
      </w:r>
      <w:r w:rsidR="002756CF" w:rsidRPr="002F1229">
        <w:rPr>
          <w:rFonts w:ascii="Garamond" w:hAnsi="Garamond"/>
          <w:b/>
          <w:i/>
          <w:color w:val="0070C0"/>
          <w:sz w:val="24"/>
          <w:szCs w:val="24"/>
        </w:rPr>
        <w:t>equally disastrous</w:t>
      </w:r>
      <w:r w:rsidRPr="002F1229">
        <w:rPr>
          <w:rFonts w:ascii="Garamond" w:hAnsi="Garamond"/>
          <w:b/>
          <w:i/>
          <w:color w:val="0070C0"/>
          <w:sz w:val="24"/>
          <w:szCs w:val="24"/>
        </w:rPr>
        <w:t>.</w:t>
      </w:r>
      <w:r>
        <w:rPr>
          <w:rFonts w:ascii="Garamond" w:hAnsi="Garamond"/>
          <w:b/>
          <w:i/>
          <w:sz w:val="24"/>
          <w:szCs w:val="24"/>
        </w:rPr>
        <w:t xml:space="preserve">  </w:t>
      </w:r>
      <w:r w:rsidRPr="008473D3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Most importantly, </w:t>
      </w:r>
      <w:r w:rsidR="003F79AD" w:rsidRPr="008473D3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unlike a glass bowl, </w:t>
      </w:r>
      <w:r w:rsidRPr="008473D3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this plastic mixing bowl </w:t>
      </w:r>
      <w:r w:rsidR="007C26FE" w:rsidRPr="008473D3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is </w:t>
      </w:r>
      <w:r w:rsidR="007C26FE" w:rsidRPr="008473D3">
        <w:rPr>
          <w:rFonts w:ascii="Garamond" w:hAnsi="Garamond"/>
          <w:b/>
          <w:i/>
          <w:color w:val="ED7D31" w:themeColor="accent2"/>
          <w:sz w:val="24"/>
          <w:szCs w:val="24"/>
          <w:highlight w:val="yellow"/>
        </w:rPr>
        <w:t>unbreakable</w:t>
      </w:r>
      <w:r w:rsidR="007C26FE" w:rsidRPr="008473D3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 if I</w:t>
      </w:r>
      <w:r w:rsidR="003F79AD" w:rsidRPr="008473D3"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 accidentally drop it from a kitchen counter</w:t>
      </w:r>
      <w:r w:rsidRPr="008473D3">
        <w:rPr>
          <w:rFonts w:ascii="Garamond" w:hAnsi="Garamond"/>
          <w:b/>
          <w:i/>
          <w:color w:val="ED7D31" w:themeColor="accent2"/>
          <w:sz w:val="24"/>
          <w:szCs w:val="24"/>
        </w:rPr>
        <w:t>.</w:t>
      </w:r>
      <w:r>
        <w:rPr>
          <w:rFonts w:ascii="Garamond" w:hAnsi="Garamond"/>
          <w:b/>
          <w:i/>
          <w:sz w:val="24"/>
          <w:szCs w:val="24"/>
        </w:rPr>
        <w:t xml:space="preserve">  </w:t>
      </w:r>
      <w:r w:rsidRPr="008473D3">
        <w:rPr>
          <w:rFonts w:ascii="Garamond" w:hAnsi="Garamond"/>
          <w:b/>
          <w:i/>
          <w:color w:val="0070C0"/>
          <w:sz w:val="24"/>
          <w:szCs w:val="24"/>
        </w:rPr>
        <w:t xml:space="preserve">Likewise, I </w:t>
      </w:r>
      <w:r w:rsidR="00D623C1" w:rsidRPr="008473D3">
        <w:rPr>
          <w:rFonts w:ascii="Garamond" w:hAnsi="Garamond"/>
          <w:b/>
          <w:i/>
          <w:color w:val="0070C0"/>
          <w:sz w:val="24"/>
          <w:szCs w:val="24"/>
        </w:rPr>
        <w:t xml:space="preserve">feel that I’m </w:t>
      </w:r>
      <w:r w:rsidR="00D623C1" w:rsidRPr="008473D3">
        <w:rPr>
          <w:rFonts w:ascii="Garamond" w:hAnsi="Garamond"/>
          <w:b/>
          <w:i/>
          <w:color w:val="0070C0"/>
          <w:sz w:val="24"/>
          <w:szCs w:val="24"/>
          <w:highlight w:val="yellow"/>
        </w:rPr>
        <w:t>unbreakable</w:t>
      </w:r>
      <w:r w:rsidR="00D623C1" w:rsidRPr="008473D3">
        <w:rPr>
          <w:rFonts w:ascii="Garamond" w:hAnsi="Garamond"/>
          <w:b/>
          <w:i/>
          <w:color w:val="0070C0"/>
          <w:sz w:val="24"/>
          <w:szCs w:val="24"/>
        </w:rPr>
        <w:t xml:space="preserve"> because I’m able to</w:t>
      </w:r>
      <w:r w:rsidRPr="008473D3">
        <w:rPr>
          <w:rFonts w:ascii="Garamond" w:hAnsi="Garamond"/>
          <w:b/>
          <w:i/>
          <w:color w:val="0070C0"/>
          <w:sz w:val="24"/>
          <w:szCs w:val="24"/>
        </w:rPr>
        <w:t xml:space="preserve"> withstand </w:t>
      </w:r>
      <w:r w:rsidR="00D623C1" w:rsidRPr="008473D3">
        <w:rPr>
          <w:rFonts w:ascii="Garamond" w:hAnsi="Garamond"/>
          <w:b/>
          <w:i/>
          <w:color w:val="0070C0"/>
          <w:sz w:val="24"/>
          <w:szCs w:val="24"/>
        </w:rPr>
        <w:t>crackin</w:t>
      </w:r>
      <w:r w:rsidR="00A336D0">
        <w:rPr>
          <w:rFonts w:ascii="Garamond" w:hAnsi="Garamond"/>
          <w:b/>
          <w:i/>
          <w:color w:val="0070C0"/>
          <w:sz w:val="24"/>
          <w:szCs w:val="24"/>
        </w:rPr>
        <w:t>g</w:t>
      </w:r>
      <w:r w:rsidRPr="008473D3">
        <w:rPr>
          <w:rFonts w:ascii="Garamond" w:hAnsi="Garamond"/>
          <w:b/>
          <w:i/>
          <w:color w:val="0070C0"/>
          <w:sz w:val="24"/>
          <w:szCs w:val="24"/>
        </w:rPr>
        <w:t xml:space="preserve"> under the pressure of playing the roles I do because I have learned to handle my stress and responsibilities quite well.  </w:t>
      </w:r>
      <w:r w:rsidRPr="004D3CC3">
        <w:rPr>
          <w:rFonts w:ascii="Garamond" w:hAnsi="Garamond"/>
          <w:b/>
          <w:i/>
          <w:sz w:val="24"/>
          <w:szCs w:val="24"/>
        </w:rPr>
        <w:t xml:space="preserve"> </w:t>
      </w:r>
      <w:r w:rsidRPr="002B6465">
        <w:rPr>
          <w:rFonts w:ascii="Garamond" w:hAnsi="Garamond"/>
          <w:b/>
          <w:i/>
          <w:color w:val="FF0000"/>
          <w:sz w:val="24"/>
          <w:szCs w:val="24"/>
        </w:rPr>
        <w:t>For all these reasons, this mixing bowl is clearly a great metaphor for me because of the unique qualities we share.</w:t>
      </w:r>
    </w:p>
    <w:p w14:paraId="6BFFEB08" w14:textId="53E87B68" w:rsidR="007B2D31" w:rsidRDefault="007B2D31" w:rsidP="00C6631E">
      <w:pPr>
        <w:pStyle w:val="NoSpacing"/>
        <w:spacing w:line="360" w:lineRule="auto"/>
        <w:rPr>
          <w:rFonts w:ascii="Garamond" w:hAnsi="Garamond"/>
          <w:b/>
          <w:i/>
          <w:color w:val="FF0000"/>
          <w:sz w:val="24"/>
          <w:szCs w:val="24"/>
        </w:rPr>
      </w:pPr>
    </w:p>
    <w:p w14:paraId="18D31508" w14:textId="64298D7F" w:rsidR="007B2D31" w:rsidRDefault="007B2D31" w:rsidP="00C6631E">
      <w:pPr>
        <w:pStyle w:val="NoSpacing"/>
        <w:spacing w:line="360" w:lineRule="auto"/>
        <w:rPr>
          <w:rFonts w:ascii="Garamond" w:hAnsi="Garamond"/>
          <w:b/>
          <w:i/>
          <w:color w:val="FF0000"/>
          <w:sz w:val="24"/>
          <w:szCs w:val="24"/>
        </w:rPr>
      </w:pPr>
      <w:r>
        <w:rPr>
          <w:rFonts w:ascii="Garamond" w:hAnsi="Garamond"/>
          <w:b/>
          <w:i/>
          <w:color w:val="FF0000"/>
          <w:sz w:val="24"/>
          <w:szCs w:val="24"/>
        </w:rPr>
        <w:t>Red = assertions/reassertions</w:t>
      </w:r>
    </w:p>
    <w:p w14:paraId="292622EB" w14:textId="074CD86F" w:rsidR="007B2D31" w:rsidRDefault="007B2D31" w:rsidP="00C6631E">
      <w:pPr>
        <w:pStyle w:val="NoSpacing"/>
        <w:spacing w:line="360" w:lineRule="auto"/>
        <w:rPr>
          <w:rFonts w:ascii="Garamond" w:hAnsi="Garamond"/>
          <w:b/>
          <w:i/>
          <w:color w:val="ED7D31" w:themeColor="accent2"/>
          <w:sz w:val="24"/>
          <w:szCs w:val="24"/>
        </w:rPr>
      </w:pPr>
      <w:r>
        <w:rPr>
          <w:rFonts w:ascii="Garamond" w:hAnsi="Garamond"/>
          <w:b/>
          <w:i/>
          <w:color w:val="ED7D31" w:themeColor="accent2"/>
          <w:sz w:val="24"/>
          <w:szCs w:val="24"/>
        </w:rPr>
        <w:t xml:space="preserve">Orange = Examples </w:t>
      </w:r>
    </w:p>
    <w:p w14:paraId="2A17D5BE" w14:textId="75062B4B" w:rsidR="000A74CC" w:rsidRDefault="000A74CC" w:rsidP="00C6631E">
      <w:pPr>
        <w:pStyle w:val="NoSpacing"/>
        <w:spacing w:line="360" w:lineRule="auto"/>
        <w:rPr>
          <w:rFonts w:ascii="Garamond" w:hAnsi="Garamond"/>
          <w:b/>
          <w:i/>
          <w:color w:val="0070C0"/>
          <w:sz w:val="24"/>
          <w:szCs w:val="24"/>
        </w:rPr>
      </w:pPr>
      <w:r>
        <w:rPr>
          <w:rFonts w:ascii="Garamond" w:hAnsi="Garamond"/>
          <w:b/>
          <w:i/>
          <w:color w:val="0070C0"/>
          <w:sz w:val="24"/>
          <w:szCs w:val="24"/>
        </w:rPr>
        <w:t>Blue = Explanations</w:t>
      </w:r>
    </w:p>
    <w:p w14:paraId="08B7BFAE" w14:textId="7CB511CA" w:rsidR="000A74CC" w:rsidRPr="000A74CC" w:rsidRDefault="000A74CC" w:rsidP="00C6631E">
      <w:pPr>
        <w:pStyle w:val="NoSpacing"/>
        <w:spacing w:line="360" w:lineRule="auto"/>
        <w:rPr>
          <w:rFonts w:ascii="Garamond" w:hAnsi="Garamond"/>
          <w:sz w:val="24"/>
          <w:szCs w:val="24"/>
        </w:rPr>
      </w:pPr>
      <w:r w:rsidRPr="000A74CC">
        <w:rPr>
          <w:rFonts w:ascii="Garamond" w:hAnsi="Garamond"/>
          <w:b/>
          <w:i/>
          <w:sz w:val="24"/>
          <w:szCs w:val="24"/>
          <w:highlight w:val="yellow"/>
        </w:rPr>
        <w:t>Highlighted</w:t>
      </w:r>
      <w:r>
        <w:rPr>
          <w:rFonts w:ascii="Garamond" w:hAnsi="Garamond"/>
          <w:b/>
          <w:i/>
          <w:sz w:val="24"/>
          <w:szCs w:val="24"/>
        </w:rPr>
        <w:t xml:space="preserve"> = Ambiguous denotations that transcend physical (A) of </w:t>
      </w:r>
      <w:r w:rsidR="001D14CA">
        <w:rPr>
          <w:rFonts w:ascii="Garamond" w:hAnsi="Garamond"/>
          <w:b/>
          <w:i/>
          <w:sz w:val="24"/>
          <w:szCs w:val="24"/>
        </w:rPr>
        <w:t>metaphor and abstract (B) of me</w:t>
      </w:r>
    </w:p>
    <w:p w14:paraId="6A2A1F3E" w14:textId="77777777" w:rsidR="00C6631E" w:rsidRDefault="00C6631E" w:rsidP="00C6631E">
      <w:pPr>
        <w:pStyle w:val="NoSpacing"/>
        <w:rPr>
          <w:rFonts w:ascii="Garamond" w:hAnsi="Garamond"/>
          <w:sz w:val="28"/>
          <w:szCs w:val="28"/>
        </w:rPr>
      </w:pPr>
    </w:p>
    <w:p w14:paraId="29B472F2" w14:textId="5B88DF4C" w:rsidR="002259BA" w:rsidRDefault="002259BA"/>
    <w:p w14:paraId="2CEB5F2C" w14:textId="5CAED86D" w:rsidR="00BD5A5A" w:rsidRDefault="00BD5A5A"/>
    <w:p w14:paraId="3AB1A557" w14:textId="4C20C8FB" w:rsidR="00BD5A5A" w:rsidRDefault="00BD5A5A"/>
    <w:p w14:paraId="20CB1EE0" w14:textId="2B6C3B1D" w:rsidR="00BD5A5A" w:rsidRDefault="00BD5A5A"/>
    <w:p w14:paraId="722482CD" w14:textId="7DBAE64F" w:rsidR="00BD5A5A" w:rsidRDefault="00BD5A5A"/>
    <w:p w14:paraId="06225E03" w14:textId="6F7D4F8F" w:rsidR="00BD5A5A" w:rsidRDefault="00BD5A5A"/>
    <w:p w14:paraId="3562232D" w14:textId="10EC4380" w:rsidR="00BD5A5A" w:rsidRDefault="00BD5A5A"/>
    <w:p w14:paraId="52E64A49" w14:textId="67BCA29E" w:rsidR="00BD5A5A" w:rsidRDefault="00BD5A5A"/>
    <w:p w14:paraId="4AB767E8" w14:textId="791A0752" w:rsidR="00BD5A5A" w:rsidRDefault="00BD5A5A"/>
    <w:sectPr w:rsidR="00BD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1E"/>
    <w:rsid w:val="000A74CC"/>
    <w:rsid w:val="00192D7E"/>
    <w:rsid w:val="001B5A96"/>
    <w:rsid w:val="001D14CA"/>
    <w:rsid w:val="002259BA"/>
    <w:rsid w:val="002756CF"/>
    <w:rsid w:val="002B6465"/>
    <w:rsid w:val="002F1229"/>
    <w:rsid w:val="00313589"/>
    <w:rsid w:val="003F79AD"/>
    <w:rsid w:val="00402A97"/>
    <w:rsid w:val="00406E08"/>
    <w:rsid w:val="0054719B"/>
    <w:rsid w:val="00580CF6"/>
    <w:rsid w:val="00592120"/>
    <w:rsid w:val="005C11A5"/>
    <w:rsid w:val="006B5281"/>
    <w:rsid w:val="00765550"/>
    <w:rsid w:val="007B2D31"/>
    <w:rsid w:val="007C26FE"/>
    <w:rsid w:val="007F5875"/>
    <w:rsid w:val="008008BD"/>
    <w:rsid w:val="008473D3"/>
    <w:rsid w:val="008B791B"/>
    <w:rsid w:val="008C7A36"/>
    <w:rsid w:val="008D765B"/>
    <w:rsid w:val="008E08D2"/>
    <w:rsid w:val="008F32E2"/>
    <w:rsid w:val="0098772A"/>
    <w:rsid w:val="00A336D0"/>
    <w:rsid w:val="00A33FB4"/>
    <w:rsid w:val="00A505EA"/>
    <w:rsid w:val="00AA7386"/>
    <w:rsid w:val="00BB2450"/>
    <w:rsid w:val="00BD5A5A"/>
    <w:rsid w:val="00C03237"/>
    <w:rsid w:val="00C36113"/>
    <w:rsid w:val="00C6631E"/>
    <w:rsid w:val="00CD0797"/>
    <w:rsid w:val="00D13023"/>
    <w:rsid w:val="00D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9A0F"/>
  <w15:chartTrackingRefBased/>
  <w15:docId w15:val="{413E4924-4895-409C-80F5-0E5E1B1C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2C381-1EFC-4773-8BE2-77AC3D03CBFA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15488BD7-1BA1-405F-9A85-02169EC41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B8C52-C1B6-4966-B1B4-BBBED0E46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41</cp:revision>
  <dcterms:created xsi:type="dcterms:W3CDTF">2020-09-23T17:54:00Z</dcterms:created>
  <dcterms:modified xsi:type="dcterms:W3CDTF">2020-09-28T14:10:00Z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